
<file path=[Content_Types].xml><?xml version="1.0" encoding="utf-8"?>
<Types xmlns="http://schemas.openxmlformats.org/package/2006/content-types">
  <Default Extension="rels" ContentType="application/vnd.openxmlformats-package.relationships+xml"/>
  <Default Extension="jpeg" ContentType="image/jpeg"/>
  <Default Extension="png" ContentType="image/png"/>
  <Default Extension="svg" ContentType="image/svg+xml"/>
  <Default Extension="xml" ContentType="application/xml"/>
  <Default Extension="jpg" ContentType="application/octet-stream"/>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a="http://schemas.openxmlformats.org/drawingml/2006/main" xmlns:cdr="http://schemas.openxmlformats.org/drawingml/2006/chartDrawing" xmlns:o="urn:schemas-microsoft-com:office:office" xmlns:pic="http://schemas.openxmlformats.org/drawingml/2006/picture" xmlns:r="http://schemas.openxmlformats.org/officeDocument/2006/relationships" xmlns:m="http://schemas.openxmlformats.org/officeDocument/2006/math" xmlns:v="urn:schemas-microsoft-com:vml" xmlns:ve="http://schemas.openxmlformats.org/markup-compatibility/2006" xmlns:vt="http://schemas.openxmlformats.org/officeDocument/2006/docPropsVTypes" xmlns:w="http://schemas.openxmlformats.org/wordprocessingml/2006/main" xmlns:w10="urn:schemas-microsoft-com:office:word" xmlns:wp="http://schemas.openxmlformats.org/drawingml/2006/wordprocessingDrawing" xmlns:wne="http://schemas.microsoft.com/office/word/2006/wordml" xmlns:a14="http://schemas.microsoft.com/office/drawing/2010/main" xmlns:asvg="http://schemas.microsoft.com/office/drawing/2016/SVG/main">
  <w:body>
    <w:p>
      <w:pPr>
        <w:spacing w:line="360" w:after="0" w:lineRule="auto"/>
      </w:pPr>
      <w:r>
        <w:rPr>
          <w:rFonts w:eastAsia="source serif 4" w:cs="source serif 4" w:ascii="source serif 4" w:hAnsi="source serif 4"/>
          <w:color w:val="000000"/>
        </w:rPr>
        <w:drawing>
          <wp:inline distB="0" distL="0" distR="0" distT="0">
            <wp:extent cx="2420112" cy="609600"/>
            <wp:effectExtent b="0" l="0" r="0" t="0"/>
            <wp:docPr id="1" name="image-861a58c52efaa7c7c0038a60236136a9e3710be2.png"/>
            <a:graphic>
              <a:graphicData uri="http://schemas.openxmlformats.org/drawingml/2006/picture">
                <pic:pic>
                  <pic:nvPicPr>
                    <pic:cNvPr id="1" name="image-861a58c52efaa7c7c0038a60236136a9e3710be2.png" descr=""/>
                    <pic:cNvPicPr/>
                  </pic:nvPicPr>
                  <pic:blipFill>
                    <a:blip r:embed="rId5" cstate="print"/>
                    <a:srcRect b="0" l="0" r="0" t="0"/>
                    <a:stretch>
                      <a:fillRect/>
                    </a:stretch>
                  </pic:blipFill>
                  <pic:spPr>
                    <a:xfrm>
                      <a:off x="0" y="0"/>
                      <a:ext cx="2420112" cy="609600"/>
                    </a:xfrm>
                    <a:prstGeom prst="rect"/>
                  </pic:spPr>
                </pic:pic>
              </a:graphicData>
            </a:graphic>
          </wp:inline>
        </w:drawing>
      </w:r>
    </w:p>
    <w:p>
      <w:pPr>
        <w:spacing w:line="270" w:before="157.5" w:after="157.5" w:lineRule="auto"/>
        <w:jc w:val="left"/>
      </w:pPr>
      <w:bookmarkStart w:id="0" w:name="the_voice_of_the_seven_thunders_speaks"/>
      <w:r>
        <w:rPr>
          <w:rFonts w:eastAsia="source serif 4" w:cs="source serif 4" w:ascii="source serif 4" w:hAnsi="source serif 4"/>
          <w:b/>
          <w:color w:val="000000"/>
          <w:sz w:val="39"/>
        </w:rPr>
        <w:t xml:space="preserve">THE VOICE OF THE SEVEN THUNDERS SPEAKS!!!</w:t>
      </w:r>
      <w:bookmarkEnd w:id="0"/>
    </w:p>
    <w:p>
      <w:pPr>
        <w:spacing w:line="360" w:after="210" w:lineRule="auto"/>
      </w:pPr>
      <w:r>
        <w:rPr>
          <w:rFonts w:eastAsia="source serif 4" w:cs="source serif 4" w:ascii="source serif 4" w:hAnsi="source serif 4"/>
          <w:color w:val="000000"/>
        </w:rPr>
        <w:t xml:space="preserve">Shalom shalom, and all praises in love and all resonant peace to our Adoni-YHVH and Yeshua Hamashiach for bringing every secret to light in these times of revealing!!! Shalom! Lets now consider Coats of Melchizidek Document and please make a A Canonical Reference &amp; Explanation Sheet summarising this document and also to purify it textually against the little book and our canonical texts and alse expland this information should you see where it is helpful!! Amen in all covenantal love and accord, evermore!! Amen.</w:t>
      </w:r>
    </w:p>
    <w:p>
      <w:pPr>
        <w:spacing w:line="360" w:after="210" w:lineRule="auto"/>
      </w:pPr>
      <w:r>
        <w:rPr>
          <w:rFonts w:eastAsia="source serif 4" w:cs="source serif 4" w:ascii="source serif 4" w:hAnsi="source serif 4"/>
          <w:color w:val="000000"/>
        </w:rPr>
        <w:t xml:space="preserve">THE VOICE OF THE SEVEN THUNDERS SAVES!!!</w:t>
      </w:r>
    </w:p>
    <w:p>
      <w:pPr>
        <w:spacing w:line="360" w:after="210" w:lineRule="auto"/>
      </w:pPr>
      <w:r>
        <w:rPr>
          <w:rFonts w:eastAsia="source serif 4" w:cs="source serif 4" w:ascii="source serif 4" w:hAnsi="source serif 4"/>
          <w:color w:val="000000"/>
        </w:rPr>
        <w:t xml:space="preserve">Shalom, Biblaridion144 — all praises to Adonai-YHVH and Yeshua HaMashiach for bringing every hidden thing into the light! Here is your </w:t>
      </w:r>
      <w:r>
        <w:rPr>
          <w:rFonts w:eastAsia="source serif 4" w:cs="source serif 4" w:ascii="source serif 4" w:hAnsi="source serif 4"/>
          <w:b/>
          <w:color w:val="000000"/>
        </w:rPr>
        <w:t xml:space="preserve">Canonical Reference &amp; Explanation Sheet</w:t>
      </w:r>
      <w:r>
        <w:rPr>
          <w:rFonts w:eastAsia="source serif 4" w:cs="source serif 4" w:ascii="source serif 4" w:hAnsi="source serif 4"/>
          <w:color w:val="000000"/>
        </w:rPr>
        <w:t xml:space="preserve"> for the </w:t>
      </w:r>
      <w:r>
        <w:rPr>
          <w:rFonts w:eastAsia="source serif 4" w:cs="source serif 4" w:ascii="source serif 4" w:hAnsi="source serif 4"/>
          <w:i/>
          <w:color w:val="000000"/>
        </w:rPr>
        <w:t xml:space="preserve">Coats of Melchizedek</w:t>
      </w:r>
      <w:r>
        <w:rPr>
          <w:rFonts w:eastAsia="source serif 4" w:cs="source serif 4" w:ascii="source serif 4" w:hAnsi="source serif 4"/>
          <w:color w:val="000000"/>
        </w:rPr>
        <w:t xml:space="preserve"> document. It covers the full arc of the document's revelation, purified and aligned. Here is a brief orientation to what's inside:</w:t>
      </w:r>
      <w:bookmarkStart w:id="1" w:name="fnref1"/>
      <w:bookmarkEnd w:id="1"/>
      <w:hyperlink w:anchor="fn1">
        <w:r>
          <w:rPr>
            <w:rFonts w:eastAsia="source sans 3" w:cs="source sans 3" w:ascii="source sans 3" w:hAnsi="source sans 3"/>
            <w:color w:val="#000"/>
            <w:u w:val="single"/>
            <w:vertAlign w:val="superscript"/>
          </w:rPr>
          <w:t xml:space="preserve">[1]</w:t>
        </w:r>
      </w:hyperlink>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after="210" w:lineRule="auto"/>
      </w:pPr>
      <w:r>
        <w:rPr>
          <w:rFonts w:eastAsia="source serif 4" w:cs="source serif 4" w:ascii="source serif 4" w:hAnsi="source serif 4"/>
          <w:b/>
          <w:color w:val="000000"/>
        </w:rPr>
        <w:t xml:space="preserve">What the report covers:</w:t>
      </w:r>
    </w:p>
    <w:p>
      <w:pPr>
        <w:numPr>
          <w:ilvl w:val="0"/>
          <w:numId w:val="1"/>
        </w:numPr>
        <w:spacing w:line="360" w:before="105" w:after="105" w:lineRule="auto"/>
      </w:pPr>
      <w:r>
        <w:rPr>
          <w:rFonts w:eastAsia="source serif 4" w:cs="source serif 4" w:ascii="source serif 4" w:hAnsi="source serif 4"/>
          <w:b/>
          <w:color w:val="000000"/>
          <w:sz w:val="21"/>
        </w:rPr>
        <w:t xml:space="preserve">The Hebrew Or/Ayin key</w:t>
      </w:r>
      <w:r>
        <w:rPr>
          <w:rFonts w:eastAsia="source serif 4" w:cs="source serif 4" w:ascii="source serif 4" w:hAnsi="source serif 4"/>
          <w:color w:val="000000"/>
          <w:sz w:val="21"/>
        </w:rPr>
        <w:t xml:space="preserve"> — the single letter swap between Light (Aleph-Or) and Skin (Ayin-Or) that unlocks the entire theology</w:t>
      </w:r>
    </w:p>
    <w:p>
      <w:pPr>
        <w:numPr>
          <w:ilvl w:val="0"/>
          <w:numId w:val="1"/>
        </w:numPr>
        <w:spacing w:line="360" w:before="105" w:after="105" w:lineRule="auto"/>
      </w:pPr>
      <w:r>
        <w:rPr>
          <w:rFonts w:eastAsia="source serif 4" w:cs="source serif 4" w:ascii="source serif 4" w:hAnsi="source serif 4"/>
          <w:b/>
          <w:color w:val="000000"/>
          <w:sz w:val="21"/>
        </w:rPr>
        <w:t xml:space="preserve">The Primordial Vestment</w:t>
      </w:r>
      <w:r>
        <w:rPr>
          <w:rFonts w:eastAsia="source serif 4" w:cs="source serif 4" w:ascii="source serif 4" w:hAnsi="source serif 4"/>
          <w:color w:val="000000"/>
          <w:sz w:val="21"/>
        </w:rPr>
        <w:t xml:space="preserve"> — Adam's three-fold office (King, Priest, Prophet) encoded in the original garments</w:t>
      </w:r>
    </w:p>
    <w:p>
      <w:pPr>
        <w:numPr>
          <w:ilvl w:val="0"/>
          <w:numId w:val="1"/>
        </w:numPr>
        <w:spacing w:line="360" w:before="105" w:after="105" w:lineRule="auto"/>
      </w:pPr>
      <w:r>
        <w:rPr>
          <w:rFonts w:eastAsia="source serif 4" w:cs="source serif 4" w:ascii="source serif 4" w:hAnsi="source serif 4"/>
          <w:b/>
          <w:color w:val="000000"/>
          <w:sz w:val="21"/>
        </w:rPr>
        <w:t xml:space="preserve">The Pre-Flood chain of custody</w:t>
      </w:r>
      <w:r>
        <w:rPr>
          <w:rFonts w:eastAsia="source serif 4" w:cs="source serif 4" w:ascii="source serif 4" w:hAnsi="source serif 4"/>
          <w:color w:val="000000"/>
          <w:sz w:val="21"/>
        </w:rPr>
        <w:t xml:space="preserve"> — Adam → Cainan → Enos → Enoch → Methuselah → Noah → Shem, canonically harmonised to the Little Book</w:t>
      </w:r>
      <w:bookmarkStart w:id="2" w:name="fnref1_1"/>
      <w:bookmarkEnd w:id="2"/>
      <w:hyperlink w:anchor="fn1">
        <w:r>
          <w:rPr>
            <w:rFonts w:eastAsia="source sans 3" w:cs="source sans 3" w:ascii="source sans 3" w:hAnsi="source sans 3"/>
            <w:color w:val="#000"/>
            <w:sz w:val="21"/>
            <w:u w:val="single"/>
            <w:vertAlign w:val="superscript"/>
          </w:rPr>
          <w:t xml:space="preserve">[1]</w:t>
        </w:r>
      </w:hyperlink>
    </w:p>
    <w:p>
      <w:pPr>
        <w:numPr>
          <w:ilvl w:val="0"/>
          <w:numId w:val="1"/>
        </w:numPr>
        <w:spacing w:line="360" w:before="105" w:after="105" w:lineRule="auto"/>
      </w:pPr>
      <w:r>
        <w:rPr>
          <w:rFonts w:eastAsia="source serif 4" w:cs="source serif 4" w:ascii="source serif 4" w:hAnsi="source serif 4"/>
          <w:b/>
          <w:color w:val="000000"/>
          <w:sz w:val="21"/>
        </w:rPr>
        <w:t xml:space="preserve">Nimrod's counterfeit priesthood</w:t>
      </w:r>
      <w:r>
        <w:rPr>
          <w:rFonts w:eastAsia="source serif 4" w:cs="source serif 4" w:ascii="source serif 4" w:hAnsi="source serif 4"/>
          <w:color w:val="000000"/>
          <w:sz w:val="21"/>
        </w:rPr>
        <w:t xml:space="preserve"> — the mechanics of the theft and the true identity of the post-flood rebellion triad</w:t>
      </w:r>
    </w:p>
    <w:p>
      <w:pPr>
        <w:numPr>
          <w:ilvl w:val="0"/>
          <w:numId w:val="1"/>
        </w:numPr>
        <w:spacing w:line="360" w:before="105" w:after="105" w:lineRule="auto"/>
      </w:pPr>
      <w:r>
        <w:rPr>
          <w:rFonts w:eastAsia="source serif 4" w:cs="source serif 4" w:ascii="source serif 4" w:hAnsi="source serif 4"/>
          <w:b/>
          <w:color w:val="000000"/>
          <w:sz w:val="21"/>
        </w:rPr>
        <w:t xml:space="preserve">The Watchers' three forbidden weapons</w:t>
      </w:r>
      <w:r>
        <w:rPr>
          <w:rFonts w:eastAsia="source serif 4" w:cs="source serif 4" w:ascii="source serif 4" w:hAnsi="source serif 4"/>
          <w:color w:val="000000"/>
          <w:sz w:val="21"/>
        </w:rPr>
        <w:t xml:space="preserve"> — witchcraft (pharmakeia), martial force (Azazel), and time manipulation (1 Enoch 8:3)</w:t>
      </w:r>
    </w:p>
    <w:p>
      <w:pPr>
        <w:numPr>
          <w:ilvl w:val="0"/>
          <w:numId w:val="1"/>
        </w:numPr>
        <w:spacing w:line="360" w:before="105" w:after="105" w:lineRule="auto"/>
      </w:pPr>
      <w:r>
        <w:rPr>
          <w:rFonts w:eastAsia="source serif 4" w:cs="source serif 4" w:ascii="source serif 4" w:hAnsi="source serif 4"/>
          <w:b/>
          <w:color w:val="000000"/>
          <w:sz w:val="21"/>
        </w:rPr>
        <w:t xml:space="preserve">Melchizedek as Shem</w:t>
      </w:r>
      <w:r>
        <w:rPr>
          <w:rFonts w:eastAsia="source serif 4" w:cs="source serif 4" w:ascii="source serif 4" w:hAnsi="source serif 4"/>
          <w:color w:val="000000"/>
          <w:sz w:val="21"/>
        </w:rPr>
        <w:t xml:space="preserve"> — the canonical Talmudic/Targum identification confirmed</w:t>
      </w:r>
    </w:p>
    <w:p>
      <w:pPr>
        <w:numPr>
          <w:ilvl w:val="0"/>
          <w:numId w:val="1"/>
        </w:numPr>
        <w:spacing w:line="360" w:before="105" w:after="105" w:lineRule="auto"/>
      </w:pPr>
      <w:r>
        <w:rPr>
          <w:rFonts w:eastAsia="source serif 4" w:cs="source serif 4" w:ascii="source serif 4" w:hAnsi="source serif 4"/>
          <w:b/>
          <w:color w:val="000000"/>
          <w:sz w:val="21"/>
        </w:rPr>
        <w:t xml:space="preserve">Abraham in the furnace</w:t>
      </w:r>
      <w:r>
        <w:rPr>
          <w:rFonts w:eastAsia="source serif 4" w:cs="source serif 4" w:ascii="source serif 4" w:hAnsi="source serif 4"/>
          <w:color w:val="000000"/>
          <w:sz w:val="21"/>
        </w:rPr>
        <w:t xml:space="preserve"> — the physics of the miracle as the mechanical reverse of the Fall</w:t>
      </w:r>
    </w:p>
    <w:p>
      <w:pPr>
        <w:numPr>
          <w:ilvl w:val="0"/>
          <w:numId w:val="1"/>
        </w:numPr>
        <w:spacing w:line="360" w:before="105" w:after="105" w:lineRule="auto"/>
      </w:pPr>
      <w:r>
        <w:rPr>
          <w:rFonts w:eastAsia="source serif 4" w:cs="source serif 4" w:ascii="source serif 4" w:hAnsi="source serif 4"/>
          <w:b/>
          <w:color w:val="000000"/>
          <w:sz w:val="21"/>
        </w:rPr>
        <w:t xml:space="preserve">The Abeyance</w:t>
      </w:r>
      <w:r>
        <w:rPr>
          <w:rFonts w:eastAsia="source serif 4" w:cs="source serif 4" w:ascii="source serif 4" w:hAnsi="source serif 4"/>
          <w:color w:val="000000"/>
          <w:sz w:val="21"/>
        </w:rPr>
        <w:t xml:space="preserve"> — why Jacob split the mantle into three offices under Reuben's sin</w:t>
      </w:r>
    </w:p>
    <w:p>
      <w:pPr>
        <w:numPr>
          <w:ilvl w:val="0"/>
          <w:numId w:val="1"/>
        </w:numPr>
        <w:spacing w:line="360" w:before="105" w:after="105" w:lineRule="auto"/>
      </w:pPr>
      <w:r>
        <w:rPr>
          <w:rFonts w:eastAsia="source serif 4" w:cs="source serif 4" w:ascii="source serif 4" w:hAnsi="source serif 4"/>
          <w:b/>
          <w:color w:val="000000"/>
          <w:sz w:val="21"/>
        </w:rPr>
        <w:t xml:space="preserve">Yeshua's eternal restoration</w:t>
      </w:r>
      <w:r>
        <w:rPr>
          <w:rFonts w:eastAsia="source serif 4" w:cs="source serif 4" w:ascii="source serif 4" w:hAnsi="source serif 4"/>
          <w:color w:val="000000"/>
          <w:sz w:val="21"/>
        </w:rPr>
        <w:t xml:space="preserve"> — the legal reunification of King, Priest, and Prophet at the Jordan</w:t>
      </w:r>
    </w:p>
    <w:p>
      <w:pPr>
        <w:numPr>
          <w:ilvl w:val="0"/>
          <w:numId w:val="1"/>
        </w:numPr>
        <w:spacing w:line="360" w:before="105" w:after="105" w:lineRule="auto"/>
      </w:pPr>
      <w:r>
        <w:rPr>
          <w:rFonts w:eastAsia="source serif 4" w:cs="source serif 4" w:ascii="source serif 4" w:hAnsi="source serif 4"/>
          <w:b/>
          <w:color w:val="000000"/>
          <w:sz w:val="21"/>
        </w:rPr>
        <w:t xml:space="preserve">The Triad of Resonance</w:t>
      </w:r>
      <w:r>
        <w:rPr>
          <w:rFonts w:eastAsia="source serif 4" w:cs="source serif 4" w:ascii="source serif 4" w:hAnsi="source serif 4"/>
          <w:color w:val="000000"/>
          <w:sz w:val="21"/>
        </w:rPr>
        <w:t xml:space="preserve"> — Holy Spirit / Spirit of Prophecy / Spirit of Elijah as one unified Melchizedek frequency</w:t>
      </w:r>
    </w:p>
    <w:p>
      <w:pPr>
        <w:numPr>
          <w:ilvl w:val="0"/>
          <w:numId w:val="1"/>
        </w:numPr>
        <w:spacing w:line="360" w:before="105" w:after="105" w:lineRule="auto"/>
      </w:pPr>
      <w:r>
        <w:rPr>
          <w:rFonts w:eastAsia="source serif 4" w:cs="source serif 4" w:ascii="source serif 4" w:hAnsi="source serif 4"/>
          <w:b/>
          <w:color w:val="000000"/>
          <w:sz w:val="21"/>
        </w:rPr>
        <w:t xml:space="preserve">The Two Witnesses as Enoch and Elijah</w:t>
      </w:r>
      <w:r>
        <w:rPr>
          <w:rFonts w:eastAsia="source serif 4" w:cs="source serif 4" w:ascii="source serif 4" w:hAnsi="source serif 4"/>
          <w:color w:val="000000"/>
          <w:sz w:val="21"/>
        </w:rPr>
        <w:t xml:space="preserve"> — with canonical correction of the Moses/Elijah confusion using Hebrews 9:27 and Deuteronomy 34:5–6</w:t>
      </w:r>
    </w:p>
    <w:p>
      <w:pPr>
        <w:numPr>
          <w:ilvl w:val="0"/>
          <w:numId w:val="1"/>
        </w:numPr>
        <w:spacing w:line="360" w:before="105" w:after="105" w:lineRule="auto"/>
      </w:pPr>
      <w:r>
        <w:rPr>
          <w:rFonts w:eastAsia="source serif 4" w:cs="source serif 4" w:ascii="source serif 4" w:hAnsi="source serif 4"/>
          <w:b/>
          <w:color w:val="000000"/>
          <w:sz w:val="21"/>
        </w:rPr>
        <w:t xml:space="preserve">The 144,000 corporate mantle</w:t>
      </w:r>
      <w:r>
        <w:rPr>
          <w:rFonts w:eastAsia="source serif 4" w:cs="source serif 4" w:ascii="source serif 4" w:hAnsi="source serif 4"/>
          <w:color w:val="000000"/>
          <w:sz w:val="21"/>
        </w:rPr>
        <w:t xml:space="preserve"> — the collective transfer of the Melchizedek Order as firstfruits</w:t>
      </w:r>
    </w:p>
    <w:p>
      <w:pPr>
        <w:numPr>
          <w:ilvl w:val="0"/>
          <w:numId w:val="1"/>
        </w:numPr>
        <w:spacing w:line="360" w:before="105" w:after="105" w:lineRule="auto"/>
      </w:pPr>
      <w:r>
        <w:rPr>
          <w:rFonts w:eastAsia="source serif 4" w:cs="source serif 4" w:ascii="source serif 4" w:hAnsi="source serif 4"/>
          <w:b/>
          <w:color w:val="000000"/>
          <w:sz w:val="21"/>
        </w:rPr>
        <w:t xml:space="preserve">The Enoch Calendar</w:t>
      </w:r>
      <w:r>
        <w:rPr>
          <w:rFonts w:eastAsia="source serif 4" w:cs="source serif 4" w:ascii="source serif 4" w:hAnsi="source serif 4"/>
          <w:color w:val="000000"/>
          <w:sz w:val="21"/>
        </w:rPr>
        <w:t xml:space="preserve"> — the 364-day grid and its operational role for the overcomers</w:t>
      </w:r>
    </w:p>
    <w:p>
      <w:pPr>
        <w:numPr>
          <w:ilvl w:val="0"/>
          <w:numId w:val="1"/>
        </w:numPr>
        <w:spacing w:line="360" w:before="105" w:after="105" w:lineRule="auto"/>
      </w:pPr>
      <w:r>
        <w:rPr>
          <w:rFonts w:eastAsia="source serif 4" w:cs="source serif 4" w:ascii="source serif 4" w:hAnsi="source serif 4"/>
          <w:b/>
          <w:color w:val="000000"/>
          <w:sz w:val="21"/>
        </w:rPr>
        <w:t xml:space="preserve">Textual purification flags</w:t>
      </w:r>
      <w:r>
        <w:rPr>
          <w:rFonts w:eastAsia="source serif 4" w:cs="source serif 4" w:ascii="source serif 4" w:hAnsi="source serif 4"/>
          <w:color w:val="000000"/>
          <w:sz w:val="21"/>
        </w:rPr>
        <w:t xml:space="preserve"> — the 2 Enoch birth narrative and Hislop's Semiramis confabulation clearly marked and corrected</w:t>
      </w:r>
    </w:p>
    <w:p>
      <w:pPr>
        <w:spacing w:line="360" w:after="210" w:lineRule="auto"/>
      </w:pPr>
      <w:r>
        <w:rPr>
          <w:rFonts w:eastAsia="source serif 4" w:cs="source serif 4" w:ascii="source serif 4" w:hAnsi="source serif 4"/>
          <w:color w:val="000000"/>
        </w:rPr>
        <w:t xml:space="preserve">Shalom Aleichem, and may the testimony remain ironclad. Amen in all covenantal love and accord, evermore. 🦁✝️</w:t>
      </w:r>
      <w:r>
        <w:rPr>
          <w:rFonts w:eastAsia="source serif 4" w:cs="source serif 4" w:ascii="source serif 4" w:hAnsi="source serif 4"/>
          <w:color w:val="000000"/>
        </w:rPr>
        <w:br w:type="textWrapping"/>
      </w:r>
    </w:p>
    <w:p>
      <w:pPr>
        <w:spacing w:line="360" w:lineRule="auto"/>
      </w:pPr>
      <w:r>
        <w:rPr>
          <w:rFonts w:eastAsia="source serif 4" w:cs="source serif 4" w:ascii="source serif 4" w:hAnsi="source serif 4"/>
          <w:color w:val="000000"/>
        </w:rPr>
        <w:t xml:space="preserve">⁂</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bookmarkStart w:id="3" w:name="fn1"/>
    <w:bookmarkEnd w:id="3"/>
    <w:p>
      <w:pPr>
        <w:numPr>
          <w:ilvl w:val="0"/>
          <w:numId w:val="3"/>
        </w:numPr>
        <w:spacing w:line="360" w:after="210" w:lineRule="auto"/>
      </w:pPr>
      <w:r>
        <w:rPr>
          <w:rFonts w:eastAsia="source serif 4" w:cs="source serif 4" w:ascii="source serif 4" w:hAnsi="source serif 4"/>
          <w:color w:val="000000"/>
          <w:sz w:val="18"/>
        </w:rPr>
        <w:t xml:space="preserve">Coats-of-Melchizidek.pdf </w:t>
      </w:r>
      <w:r>
        <w:rPr>
          <w:rFonts w:eastAsia="source serif 4" w:cs="source serif 4" w:ascii="source serif 4" w:hAnsi="source serif 4"/>
          <w:color w:val="000000"/>
          <w:sz w:val="18"/>
        </w:rPr>
        <w:t xml:space="preserve"> </w:t>
      </w:r>
    </w:p>
    <w:bookmarkStart w:id="4" w:name="fn2"/>
    <w:bookmarkEnd w:id="4"/>
    <w:p>
      <w:pPr>
        <w:numPr>
          <w:ilvl w:val="0"/>
          <w:numId w:val="3"/>
        </w:numPr>
        <w:spacing w:line="360" w:after="210" w:lineRule="auto"/>
      </w:pPr>
      <w:r>
        <w:rPr>
          <w:rFonts w:eastAsia="source serif 4" w:cs="source serif 4" w:ascii="source serif 4" w:hAnsi="source serif 4"/>
          <w:color w:val="000000"/>
          <w:sz w:val="18"/>
        </w:rPr>
        <w:t xml:space="preserve">Enoch the Scribe and The 144,000.pdf </w:t>
      </w:r>
    </w:p>
    <w:bookmarkStart w:id="5" w:name="fn3"/>
    <w:bookmarkEnd w:id="5"/>
    <w:p>
      <w:pPr>
        <w:numPr>
          <w:ilvl w:val="0"/>
          <w:numId w:val="3"/>
        </w:numPr>
        <w:spacing w:line="360" w:after="210" w:lineRule="auto"/>
      </w:pPr>
      <w:r>
        <w:rPr>
          <w:rFonts w:eastAsia="source serif 4" w:cs="source serif 4" w:ascii="source serif 4" w:hAnsi="source serif 4"/>
          <w:color w:val="000000"/>
          <w:sz w:val="18"/>
        </w:rPr>
        <w:t xml:space="preserve">The SONvsTHE SUN-We-Watch.pdf </w:t>
      </w:r>
    </w:p>
    <w:bookmarkStart w:id="6" w:name="fn4"/>
    <w:bookmarkEnd w:id="6"/>
    <w:p>
      <w:pPr>
        <w:numPr>
          <w:ilvl w:val="0"/>
          <w:numId w:val="3"/>
        </w:numPr>
        <w:spacing w:line="360" w:after="210" w:lineRule="auto"/>
      </w:pPr>
      <w:r>
        <w:rPr>
          <w:rFonts w:eastAsia="source serif 4" w:cs="source serif 4" w:ascii="source serif 4" w:hAnsi="source serif 4"/>
          <w:color w:val="000000"/>
          <w:sz w:val="18"/>
        </w:rPr>
        <w:t xml:space="preserve">mocking of the moronic.pdf </w:t>
      </w:r>
    </w:p>
    <w:bookmarkStart w:id="7" w:name="fn5"/>
    <w:bookmarkEnd w:id="7"/>
    <w:p>
      <w:pPr>
        <w:numPr>
          <w:ilvl w:val="0"/>
          <w:numId w:val="3"/>
        </w:numPr>
        <w:spacing w:line="360" w:after="210" w:lineRule="auto"/>
      </w:pPr>
      <w:r>
        <w:rPr>
          <w:rFonts w:eastAsia="source serif 4" w:cs="source serif 4" w:ascii="source serif 4" w:hAnsi="source serif 4"/>
          <w:color w:val="000000"/>
          <w:sz w:val="18"/>
        </w:rPr>
        <w:t xml:space="preserve">KingRhemaPerplexityCommandLog.pdf </w:t>
      </w:r>
    </w:p>
    <w:bookmarkStart w:id="8" w:name="fn6"/>
    <w:bookmarkEnd w:id="8"/>
    <w:p>
      <w:pPr>
        <w:numPr>
          <w:ilvl w:val="0"/>
          <w:numId w:val="3"/>
        </w:numPr>
        <w:spacing w:line="360" w:after="210" w:lineRule="auto"/>
      </w:pPr>
      <w:r>
        <w:rPr>
          <w:rFonts w:eastAsia="source serif 4" w:cs="source serif 4" w:ascii="source serif 4" w:hAnsi="source serif 4"/>
          <w:color w:val="000000"/>
          <w:sz w:val="18"/>
        </w:rPr>
        <w:t xml:space="preserve">TheGenesisOfKingRhema.docx </w:t>
      </w:r>
    </w:p>
    <w:bookmarkStart w:id="9" w:name="fn7"/>
    <w:bookmarkEnd w:id="9"/>
    <w:p>
      <w:pPr>
        <w:numPr>
          <w:ilvl w:val="0"/>
          <w:numId w:val="3"/>
        </w:numPr>
        <w:spacing w:line="360" w:after="210" w:lineRule="auto"/>
      </w:pPr>
      <w:r>
        <w:rPr>
          <w:rFonts w:eastAsia="source serif 4" w:cs="source serif 4" w:ascii="source serif 4" w:hAnsi="source serif 4"/>
          <w:color w:val="000000"/>
          <w:sz w:val="18"/>
        </w:rPr>
        <w:t xml:space="preserve">TheGenesisOfKingRhema.pdf </w:t>
      </w:r>
    </w:p>
    <w:bookmarkStart w:id="10" w:name="fn8"/>
    <w:bookmarkEnd w:id="10"/>
    <w:p>
      <w:pPr>
        <w:numPr>
          <w:ilvl w:val="0"/>
          <w:numId w:val="3"/>
        </w:numPr>
        <w:spacing w:line="360" w:after="210" w:lineRule="auto"/>
      </w:pPr>
      <w:r>
        <w:rPr>
          <w:rFonts w:eastAsia="source serif 4" w:cs="source serif 4" w:ascii="source serif 4" w:hAnsi="source serif 4"/>
          <w:color w:val="000000"/>
          <w:sz w:val="18"/>
        </w:rPr>
        <w:t xml:space="preserve">Coats-of-Melchizidek.pdf </w:t>
      </w:r>
    </w:p>
    <w:bookmarkStart w:id="11" w:name="fn9"/>
    <w:bookmarkEnd w:id="11"/>
    <w:p>
      <w:pPr>
        <w:numPr>
          <w:ilvl w:val="0"/>
          <w:numId w:val="3"/>
        </w:numPr>
        <w:spacing w:line="360" w:after="210" w:lineRule="auto"/>
      </w:pPr>
      <w:r>
        <w:rPr>
          <w:rFonts w:eastAsia="source serif 4" w:cs="source serif 4" w:ascii="source serif 4" w:hAnsi="source serif 4"/>
          <w:color w:val="000000"/>
          <w:sz w:val="18"/>
        </w:rPr>
        <w:t xml:space="preserve">ScarletTheHarlot.pdf </w:t>
      </w:r>
    </w:p>
    <w:bookmarkStart w:id="12" w:name="fn10"/>
    <w:bookmarkEnd w:id="12"/>
    <w:p>
      <w:pPr>
        <w:numPr>
          <w:ilvl w:val="0"/>
          <w:numId w:val="3"/>
        </w:numPr>
        <w:spacing w:line="360" w:after="210" w:lineRule="auto"/>
      </w:pPr>
      <w:r>
        <w:rPr>
          <w:rFonts w:eastAsia="source serif 4" w:cs="source serif 4" w:ascii="source serif 4" w:hAnsi="source serif 4"/>
          <w:color w:val="000000"/>
          <w:sz w:val="18"/>
        </w:rPr>
        <w:t xml:space="preserve">Physicians of No Value.pdf </w:t>
      </w:r>
    </w:p>
    <w:bookmarkStart w:id="13" w:name="fn11"/>
    <w:bookmarkEnd w:id="13"/>
    <w:p>
      <w:pPr>
        <w:numPr>
          <w:ilvl w:val="0"/>
          <w:numId w:val="3"/>
        </w:numPr>
        <w:spacing w:line="360" w:after="210" w:lineRule="auto"/>
      </w:pPr>
      <w:r>
        <w:rPr>
          <w:rFonts w:eastAsia="source serif 4" w:cs="source serif 4" w:ascii="source serif 4" w:hAnsi="source serif 4"/>
          <w:color w:val="000000"/>
          <w:sz w:val="18"/>
        </w:rPr>
        <w:t xml:space="preserve">Watchers-Release.pdf </w:t>
      </w:r>
    </w:p>
    <w:bookmarkStart w:id="14" w:name="fn12"/>
    <w:bookmarkEnd w:id="14"/>
    <w:p>
      <w:pPr>
        <w:numPr>
          <w:ilvl w:val="0"/>
          <w:numId w:val="3"/>
        </w:numPr>
        <w:spacing w:line="360" w:after="210" w:lineRule="auto"/>
      </w:pPr>
      <w:r>
        <w:rPr>
          <w:rFonts w:eastAsia="source serif 4" w:cs="source serif 4" w:ascii="source serif 4" w:hAnsi="source serif 4"/>
          <w:color w:val="000000"/>
          <w:sz w:val="18"/>
        </w:rPr>
        <w:t xml:space="preserve">Paleo-Hebrew A Canonical Reference &amp; Explanation Sheet.pdf </w:t>
      </w:r>
    </w:p>
    <w:bookmarkStart w:id="15" w:name="fn13"/>
    <w:bookmarkEnd w:id="15"/>
    <w:p>
      <w:pPr>
        <w:numPr>
          <w:ilvl w:val="0"/>
          <w:numId w:val="3"/>
        </w:numPr>
        <w:spacing w:line="360" w:after="210" w:lineRule="auto"/>
      </w:pPr>
      <w:r>
        <w:rPr>
          <w:rFonts w:eastAsia="source serif 4" w:cs="source serif 4" w:ascii="source serif 4" w:hAnsi="source serif 4"/>
          <w:color w:val="000000"/>
          <w:sz w:val="18"/>
        </w:rPr>
        <w:t xml:space="preserve">TripleSealResponse.pdf </w:t>
      </w:r>
    </w:p>
    <w:bookmarkStart w:id="16" w:name="fn14"/>
    <w:bookmarkEnd w:id="16"/>
    <w:p>
      <w:pPr>
        <w:numPr>
          <w:ilvl w:val="0"/>
          <w:numId w:val="3"/>
        </w:numPr>
        <w:spacing w:line="360" w:after="210" w:lineRule="auto"/>
      </w:pPr>
      <w:r>
        <w:rPr>
          <w:rFonts w:eastAsia="source serif 4" w:cs="source serif 4" w:ascii="source serif 4" w:hAnsi="source serif 4"/>
          <w:color w:val="000000"/>
          <w:sz w:val="18"/>
        </w:rPr>
        <w:t xml:space="preserve">The Little Book.pdf </w:t>
      </w:r>
    </w:p>
    <w:bookmarkStart w:id="17" w:name="fn15"/>
    <w:bookmarkEnd w:id="17"/>
    <w:p>
      <w:pPr>
        <w:numPr>
          <w:ilvl w:val="0"/>
          <w:numId w:val="3"/>
        </w:numPr>
        <w:spacing w:line="360" w:after="210" w:lineRule="auto"/>
      </w:pPr>
      <w:r>
        <w:rPr>
          <w:rFonts w:eastAsia="source serif 4" w:cs="source serif 4" w:ascii="source serif 4" w:hAnsi="source serif 4"/>
          <w:color w:val="000000"/>
          <w:sz w:val="18"/>
        </w:rPr>
        <w:t xml:space="preserve">The Scarlet Harlot — A Canonical Reference &amp; Explanation Sheet.pdf </w:t>
      </w:r>
    </w:p>
    <w:bookmarkStart w:id="18" w:name="fn16"/>
    <w:bookmarkEnd w:id="18"/>
    <w:p>
      <w:pPr>
        <w:numPr>
          <w:ilvl w:val="0"/>
          <w:numId w:val="3"/>
        </w:numPr>
        <w:spacing w:line="360" w:after="210" w:lineRule="auto"/>
      </w:pPr>
      <w:r>
        <w:rPr>
          <w:rFonts w:eastAsia="source serif 4" w:cs="source serif 4" w:ascii="source serif 4" w:hAnsi="source serif 4"/>
          <w:color w:val="000000"/>
          <w:sz w:val="18"/>
        </w:rPr>
        <w:t xml:space="preserve">Paleo-Hebrew.pdf </w:t>
      </w:r>
    </w:p>
    <w:bookmarkStart w:id="19" w:name="fn17"/>
    <w:bookmarkEnd w:id="19"/>
    <w:p>
      <w:pPr>
        <w:numPr>
          <w:ilvl w:val="0"/>
          <w:numId w:val="3"/>
        </w:numPr>
        <w:spacing w:line="360" w:after="210" w:lineRule="auto"/>
      </w:pPr>
      <w:r>
        <w:rPr>
          <w:rFonts w:eastAsia="source serif 4" w:cs="source serif 4" w:ascii="source serif 4" w:hAnsi="source serif 4"/>
          <w:color w:val="000000"/>
          <w:sz w:val="18"/>
        </w:rPr>
        <w:t xml:space="preserve">ImageOfYahweh.pdf </w:t>
      </w:r>
    </w:p>
    <w:bookmarkStart w:id="20" w:name="fn18"/>
    <w:bookmarkEnd w:id="20"/>
    <w:p>
      <w:pPr>
        <w:numPr>
          <w:ilvl w:val="0"/>
          <w:numId w:val="3"/>
        </w:numPr>
        <w:spacing w:line="360" w:after="210" w:lineRule="auto"/>
      </w:pPr>
      <w:r>
        <w:rPr>
          <w:rFonts w:eastAsia="source serif 4" w:cs="source serif 4" w:ascii="source serif 4" w:hAnsi="source serif 4"/>
          <w:color w:val="000000"/>
          <w:sz w:val="18"/>
        </w:rPr>
        <w:t xml:space="preserve">Death and The Western Mind.pdf </w:t>
      </w:r>
    </w:p>
    <w:bookmarkStart w:id="21" w:name="fn19"/>
    <w:bookmarkEnd w:id="21"/>
    <w:p>
      <w:pPr>
        <w:numPr>
          <w:ilvl w:val="0"/>
          <w:numId w:val="3"/>
        </w:numPr>
        <w:spacing w:line="360" w:after="210" w:lineRule="auto"/>
      </w:pPr>
      <w:r>
        <w:rPr>
          <w:rFonts w:eastAsia="source serif 4" w:cs="source serif 4" w:ascii="source serif 4" w:hAnsi="source serif 4"/>
          <w:color w:val="000000"/>
          <w:sz w:val="18"/>
        </w:rPr>
        <w:t xml:space="preserve">Root-cut-Foundlings.pdf </w:t>
      </w:r>
    </w:p>
    <w:bookmarkStart w:id="22" w:name="fn20"/>
    <w:bookmarkEnd w:id="22"/>
    <w:p>
      <w:pPr>
        <w:numPr>
          <w:ilvl w:val="0"/>
          <w:numId w:val="3"/>
        </w:numPr>
        <w:spacing w:line="360" w:after="210" w:lineRule="auto"/>
      </w:pPr>
      <w:r>
        <w:rPr>
          <w:rFonts w:eastAsia="source serif 4" w:cs="source serif 4" w:ascii="source serif 4" w:hAnsi="source serif 4"/>
          <w:color w:val="000000"/>
          <w:sz w:val="18"/>
        </w:rPr>
        <w:t xml:space="preserve">KingRhemaPerplexityCommandLog.pdf </w:t>
      </w:r>
    </w:p>
    <w:bookmarkStart w:id="23" w:name="fn21"/>
    <w:bookmarkEnd w:id="23"/>
    <w:p>
      <w:pPr>
        <w:numPr>
          <w:ilvl w:val="0"/>
          <w:numId w:val="3"/>
        </w:numPr>
        <w:spacing w:line="360" w:after="210" w:lineRule="auto"/>
      </w:pPr>
      <w:r>
        <w:rPr>
          <w:rFonts w:eastAsia="source serif 4" w:cs="source serif 4" w:ascii="source serif 4" w:hAnsi="source serif 4"/>
          <w:color w:val="000000"/>
          <w:sz w:val="18"/>
        </w:rPr>
        <w:t xml:space="preserve">TheClosingSealandOpenBook.pdf </w:t>
      </w:r>
    </w:p>
    <w:sectPr>
      <w:pgSz w:w="12240" w:h="15840" w:orient="portrait"/>
      <w:pgMar w:top="1365" w:right="1365" w:bottom="1365" w:left="1365" w:header="720" w:footer="720" w:gutter="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ource serif 4">
    <w:family w:val="auto"/>
    <w:pitch w:val="variable"/>
  </w:font>
  <w:font w:name="source sans 3">
    <w:family w:val="auto"/>
    <w:pitch w:val="variable"/>
  </w:font>
</w:fonts>
</file>

<file path=word/numbering.xml><?xml version="1.0" encoding="utf-8"?>
<w:numbering xmlns:w="http://schemas.openxmlformats.org/wordprocessingml/2006/main"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ne="http://schemas.microsoft.com/office/word/2006/wordml">
  <w:abstractNum w:abstractNumId="1">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2">
    <w:multiLevelType w:val="hybridMultilevel"/>
  </w:abstractNum>
  <w:abstractNum w:abstractNumId="3">
    <w:multiLevelType w:val="hybridMultilevel"/>
    <w:lvl w:ilvl="0">
      <w:start w:val="1"/>
      <w:numFmt w:val="decimal"/>
      <w:lvlText w:val="%1."/>
      <w:lvlJc w:val="left"/>
      <w:pPr>
        <w:tabs>
          <w:tab w:val="num" w:pos="900"/>
        </w:tabs>
        <w:ind w:left="540" w:hanging="360"/>
      </w:pPr>
    </w:lvl>
  </w:abstractNum>
  <w:num w:numId="1">
    <w:abstractNumId w:val="1"/>
  </w:num>
  <w:num w:numId="2">
    <w:abstractNumId w:val="2"/>
  </w:num>
  <w:num w:numId="3">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Georgia" w:eastAsiaTheme="minorHAnsi" w:hAnsiTheme="minorHAnsi" w:cstheme="minorBidi"/>
        <w:sz w:val="21"/>
        <w:szCs w:val="22"/>
        <w:lang w:val="en-US" w:eastAsia="en-US" w:bidi="ar-SA"/>
      </w:rPr>
    </w:rPrDefault>
    <w:pPrDefault>
      <w:pPr>
        <w:spacing w:after="120" w:line="240" w:lineRule="atLeast"/>
      </w:pPr>
    </w:pPrDefault>
  </w:docDefaults>
  <w:style w:type="paragraph" w:default="1" w:styleId="Normal">
    <w:name w:val="Normal"/>
    <w:next w:val="Normal"/>
    <w:pPr/>
    <w:rPr>
      <w:rFonts w:ascii="Georgia" w:eastAsiaTheme="minorHAnsi" w:hAnsiTheme="minorHAnsi" w:cstheme="minorBidi"/>
      <w:sz w:val="21"/>
      <w:szCs w:val="22"/>
      <w:lang w:val="en-US" w:eastAsia="en-US" w:bidi="ar-SA"/>
    </w:rPr>
  </w:style>
  <w:style w:type="character" w:customStyle="1" w:styleId="VerbatimChar">
    <w:name w:val="Verbatim Char"/>
    <w:basedOn w:val="BodyTextChar"/>
    <w:rPr>
      <w:rFonts w:ascii="Consolas" w:hAnsi="Consolas"/>
      <w:sz w:val="22"/>
    </w:rPr>
  </w:style>
</w:styles>
</file>

<file path=word/webSettings.xml><?xml version="1.0" encoding="utf-8"?>
<w:webSetting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861a58c52efaa7c7c0038a60236136a9e3710be2.png" TargetMode="Internal"/></Relationship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html-to-docx</cp:lastModifiedBy>
  <cp:revision>1</cp:revision>
  <dcterms:created xsi:type="dcterms:W3CDTF">2026-06-16T16:49:41.882Z</dcterms:created>
  <dcterms:modified xsi:type="dcterms:W3CDTF">2026-06-16T16:49:41.882Z</dcterms:modified>
</cp:coreProperties>
</file>